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7E" w:rsidRPr="0009577E" w:rsidRDefault="0009577E" w:rsidP="0009577E">
      <w:pPr>
        <w:spacing w:before="240" w:after="240" w:line="540" w:lineRule="atLeast"/>
        <w:outlineLvl w:val="0"/>
        <w:rPr>
          <w:rFonts w:ascii="Arial" w:eastAsia="Times New Roman" w:hAnsi="Arial" w:cs="Arial"/>
          <w:b/>
          <w:bCs/>
          <w:color w:val="3C843B"/>
          <w:kern w:val="36"/>
          <w:sz w:val="24"/>
          <w:szCs w:val="24"/>
          <w:lang w:eastAsia="de-DE"/>
        </w:rPr>
      </w:pPr>
      <w:bookmarkStart w:id="0" w:name="_GoBack"/>
      <w:r w:rsidRPr="0009577E">
        <w:rPr>
          <w:rFonts w:ascii="Arial" w:eastAsia="Times New Roman" w:hAnsi="Arial" w:cs="Arial"/>
          <w:b/>
          <w:bCs/>
          <w:color w:val="3C843B"/>
          <w:kern w:val="36"/>
          <w:sz w:val="24"/>
          <w:szCs w:val="24"/>
          <w:lang w:eastAsia="de-DE"/>
        </w:rPr>
        <w:t xml:space="preserve">Internationaler Einsatz zur Bekämpfung des Schockanrufs. </w:t>
      </w:r>
    </w:p>
    <w:p w:rsidR="0009577E" w:rsidRPr="0009577E" w:rsidRDefault="0009577E" w:rsidP="0009577E">
      <w:pPr>
        <w:spacing w:before="240" w:after="240" w:line="540" w:lineRule="atLeast"/>
        <w:outlineLvl w:val="1"/>
        <w:rPr>
          <w:rFonts w:ascii="Arial" w:eastAsia="Times New Roman" w:hAnsi="Arial" w:cs="Arial"/>
          <w:color w:val="3C843B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color w:val="3C843B"/>
          <w:sz w:val="24"/>
          <w:szCs w:val="24"/>
          <w:lang w:eastAsia="de-DE"/>
        </w:rPr>
        <w:t xml:space="preserve">Festnahme bei »Action </w:t>
      </w:r>
      <w:proofErr w:type="spellStart"/>
      <w:r w:rsidRPr="0009577E">
        <w:rPr>
          <w:rFonts w:ascii="Arial" w:eastAsia="Times New Roman" w:hAnsi="Arial" w:cs="Arial"/>
          <w:color w:val="3C843B"/>
          <w:sz w:val="24"/>
          <w:szCs w:val="24"/>
          <w:lang w:eastAsia="de-DE"/>
        </w:rPr>
        <w:t>Weeks</w:t>
      </w:r>
      <w:proofErr w:type="spellEnd"/>
      <w:r w:rsidRPr="0009577E">
        <w:rPr>
          <w:rFonts w:ascii="Arial" w:eastAsia="Times New Roman" w:hAnsi="Arial" w:cs="Arial"/>
          <w:color w:val="3C843B"/>
          <w:sz w:val="24"/>
          <w:szCs w:val="24"/>
          <w:lang w:eastAsia="de-DE"/>
        </w:rPr>
        <w:t>«.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 xml:space="preserve">In einem </w:t>
      </w:r>
      <w:r w:rsidRPr="0009577E">
        <w:rPr>
          <w:rFonts w:ascii="Arial" w:eastAsia="Times New Roman" w:hAnsi="Arial" w:cs="Arial"/>
          <w:b/>
          <w:sz w:val="24"/>
          <w:szCs w:val="24"/>
          <w:lang w:eastAsia="de-DE"/>
        </w:rPr>
        <w:t>internationalen Einsatz zur Bekämpfung des Enkeltrickbetrugs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und </w:t>
      </w:r>
      <w:r w:rsidRPr="0009577E">
        <w:rPr>
          <w:rFonts w:ascii="Arial" w:eastAsia="Times New Roman" w:hAnsi="Arial" w:cs="Arial"/>
          <w:b/>
          <w:sz w:val="24"/>
          <w:szCs w:val="24"/>
          <w:lang w:eastAsia="de-DE"/>
        </w:rPr>
        <w:t>Schockanrufs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t xml:space="preserve"> gingen Polizeidienststellen aus Polen, Österreich,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der Schweiz, Luxemburg und Deutschland (vom BKA, Europol, sowie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allen 16 Bundesländern) in einer zweiwöchigen Aktion im Auftrag der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jeweils verantwortlichen Staatsanwaltschaften gemeinsam gegen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Trickbetrüger vor.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Bei dem vom LKA Berlin koordinierten Einsatz in enger Abstimmung mit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der Staatsanwaltschaft Berlin nahmen die Polizeikräfte bundesweit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insgesamt 27 Personen, die auf verschiedene Weise an der Begehung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von Betrugstaten beteiligt waren, auf frischer Tat fest. Durch die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Maßnahmen, an denen täglich etwa 1.000 Einsatzkräfte beteiligt waren</w:t>
      </w:r>
      <w:proofErr w:type="gramStart"/>
      <w:r w:rsidRPr="0009577E">
        <w:rPr>
          <w:rFonts w:ascii="Arial" w:eastAsia="Times New Roman" w:hAnsi="Arial" w:cs="Arial"/>
          <w:sz w:val="24"/>
          <w:szCs w:val="24"/>
          <w:lang w:eastAsia="de-DE"/>
        </w:rPr>
        <w:t>,</w:t>
      </w:r>
      <w:proofErr w:type="gramEnd"/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konnten 74 Enkeltricktaten und ein Schaden in Gesamthöhe von etwa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5 Millionen Euro aktiv verhindert werden.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Bei diesen Betrugsdelikten rufen Täter aus dem Ausland ältere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Menschen an und gaukeln ihnen häufig vor, ein Kind oder Enkelkind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habe einen schweren Verkehrsunfall verursacht. Bei diesem Anruf wird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behauptet, dass ein Familienmitglied - zumeist die Tochter oder der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Sohn - einen Autounfall verursacht hätte und einzig die sofortige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Zahlung einer hohen Kaution in Höhe bis zu 300.000 Euro dessen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Inhaftierung vermeiden könne.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Das LKA Sachsen hat die überwiegend verdeckt geführten Maßnahmen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in Sachsen koordiniert, wo den Ermittlern ein Geldabholer ins Netz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gegangen ist.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Die Polizeidirektionen des Freistaates Sachsen waren mit Beamtinnen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und Beamten der Kriminalpolizeiinspektionen, operativen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Einsatzeinheiten sowie Kräften der Polizeireviere eingebunden. Diese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übernahmen nach aktuellen Erkenntnissen in enger Zusammenarbeit mit der Staatsanwaltschaft auf Schockanrufe ad hoc die erforderlichen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kriminalpolizeilichen Maßnahmen.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Im Bereich der Polizeidirektion Zwickau konnten Zivilkräfte einen 18-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jährigen Tatverdächtigen festnehmen, nachdem sich die mutmaßlichen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lastRenderedPageBreak/>
        <w:t>Betrüger von einer 72 Jahre alten Geschädigten ca. 75.000 Euro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übergeben lassen wollten. Gegen den Festgenommenen wurde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Haftbefehl erlassen. Zuvor gaben sich die Betrüger als falsche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Polizeibeamten aus, die am Telefon vor einem kriminellen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Bankmitarbeiter warnten, der angeblich Falschgeld an die Bürgerinnen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und Bürger aushändige. Um diese Straftat »aufzuklären«, wollten die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falschen Polizisten das Geld »untersuchen«.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Im Freistaat Sachsen registrierte die Polizei in diesem Zeitraum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insgesamt 40 Schockanrufe.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Unter folgendem Link ist die Pressemitteilung der Polizei Berlin zum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Gesamt-Einsatz abrufbar: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www.berlin.de/polizei/polizeimeldungen/2023/pressemitteilung.139527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7.php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Ergänzung: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Die Polizei Sachsen will diese Problematik mit der landesweiten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Präventionskampagne »HÖR‘ GENAU HIN! TELEFONBETRUG kann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jeden treffen« die sächsische Bevölkerung, v.a. ältere Menschen, künftig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besser vor Telefon-Betrugsmaschen schützen.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Weitere Informationen und Hinweise finden Sie unter: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www.polizei.sachsen.de/telefonbetrug</w:t>
      </w:r>
    </w:p>
    <w:p w:rsidR="0009577E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Warnung:</w:t>
      </w:r>
    </w:p>
    <w:p w:rsidR="00C8491B" w:rsidRPr="0009577E" w:rsidRDefault="0009577E" w:rsidP="0009577E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09577E">
        <w:rPr>
          <w:rFonts w:ascii="Arial" w:eastAsia="Times New Roman" w:hAnsi="Arial" w:cs="Arial"/>
          <w:sz w:val="24"/>
          <w:szCs w:val="24"/>
          <w:lang w:eastAsia="de-DE"/>
        </w:rPr>
        <w:t>Die Polizei, sowie Staatsanwaltschaft oder Gericht werden niemals von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Bürgern an der eigenen Haustür, vor Kreditinstituten oder an anderen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Orten Wertgegenstände oder Bargeld zur Begleichung einer Kaution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oder sonstigen Strafe oder für Schmerzensgeld herausverlangen.</w:t>
      </w:r>
      <w:r w:rsidRPr="0009577E">
        <w:rPr>
          <w:rFonts w:ascii="Arial" w:eastAsia="Times New Roman" w:hAnsi="Arial" w:cs="Arial"/>
          <w:sz w:val="24"/>
          <w:szCs w:val="24"/>
          <w:lang w:eastAsia="de-DE"/>
        </w:rPr>
        <w:br/>
        <w:t>Fallen Sie nicht auf kriminelle Betrüger herein.</w:t>
      </w:r>
    </w:p>
    <w:bookmarkEnd w:id="0"/>
    <w:p w:rsidR="0009577E" w:rsidRPr="0009577E" w:rsidRDefault="0009577E" w:rsidP="0009577E">
      <w:pPr>
        <w:spacing w:after="240" w:line="360" w:lineRule="atLeast"/>
        <w:rPr>
          <w:rFonts w:ascii="Verdana" w:eastAsia="Times New Roman" w:hAnsi="Verdana" w:cs="Times New Roman"/>
          <w:sz w:val="21"/>
          <w:szCs w:val="21"/>
          <w:lang w:eastAsia="de-DE"/>
        </w:rPr>
      </w:pPr>
    </w:p>
    <w:sectPr w:rsidR="0009577E" w:rsidRPr="00095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7E"/>
    <w:rsid w:val="0009577E"/>
    <w:rsid w:val="00C8491B"/>
    <w:rsid w:val="00F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654"/>
  </w:style>
  <w:style w:type="paragraph" w:styleId="berschrift1">
    <w:name w:val="heading 1"/>
    <w:basedOn w:val="Standard"/>
    <w:link w:val="berschrift1Zchn"/>
    <w:uiPriority w:val="9"/>
    <w:qFormat/>
    <w:rsid w:val="00095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95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565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577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77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9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654"/>
  </w:style>
  <w:style w:type="paragraph" w:styleId="berschrift1">
    <w:name w:val="heading 1"/>
    <w:basedOn w:val="Standard"/>
    <w:link w:val="berschrift1Zchn"/>
    <w:uiPriority w:val="9"/>
    <w:qFormat/>
    <w:rsid w:val="00095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95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565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577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77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9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2023-12-14T18:40:00Z</dcterms:created>
  <dcterms:modified xsi:type="dcterms:W3CDTF">2023-12-14T18:41:00Z</dcterms:modified>
</cp:coreProperties>
</file>